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8EE6" w14:textId="77777777" w:rsidR="007C44EF" w:rsidRPr="007C44EF" w:rsidRDefault="002E7CBD" w:rsidP="008B507A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5" w:hanging="425"/>
        <w:jc w:val="both"/>
        <w:rPr>
          <w:rFonts w:ascii="Arial" w:eastAsia="Calibri" w:hAnsi="Arial" w:cs="Arial"/>
          <w:color w:val="auto"/>
          <w:sz w:val="20"/>
        </w:rPr>
      </w:pP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In September 2022, the Queensland Government released the Queensland Energy and Jobs Plan (the Plan). The Plan contained commitments to legislate key </w:t>
      </w:r>
      <w:r w:rsidR="007C44EF">
        <w:rPr>
          <w:rFonts w:ascii="Arial" w:eastAsia="Calibri" w:hAnsi="Arial" w:cs="Arial"/>
          <w:color w:val="auto"/>
          <w:spacing w:val="-4"/>
          <w:sz w:val="22"/>
          <w:szCs w:val="22"/>
        </w:rPr>
        <w:t>elements of the Plan,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as well as establish new legislative infrastructure frameworks.</w:t>
      </w:r>
      <w:r w:rsidR="00353B9A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</w:p>
    <w:p w14:paraId="41AAECA4" w14:textId="77777777" w:rsidR="007C44EF" w:rsidRPr="007C44EF" w:rsidRDefault="007C44EF" w:rsidP="008B507A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5" w:right="-1" w:hanging="425"/>
        <w:jc w:val="both"/>
        <w:rPr>
          <w:rFonts w:ascii="Arial" w:eastAsia="Calibri" w:hAnsi="Arial" w:cs="Arial"/>
          <w:color w:val="auto"/>
          <w:sz w:val="20"/>
        </w:rPr>
      </w:pPr>
      <w:r>
        <w:rPr>
          <w:rFonts w:ascii="Arial" w:eastAsia="Calibri" w:hAnsi="Arial" w:cs="Arial"/>
          <w:color w:val="auto"/>
          <w:spacing w:val="-4"/>
          <w:sz w:val="22"/>
          <w:szCs w:val="22"/>
        </w:rPr>
        <w:t>A draft</w:t>
      </w:r>
      <w:r w:rsidR="00353B9A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Bill – the Energy (Renewable Transformation and Jobs) Bill – </w:t>
      </w:r>
      <w:r w:rsidR="005B2C7D">
        <w:rPr>
          <w:rFonts w:ascii="Arial" w:eastAsia="Calibri" w:hAnsi="Arial" w:cs="Arial"/>
          <w:color w:val="auto"/>
          <w:spacing w:val="-4"/>
          <w:sz w:val="22"/>
          <w:szCs w:val="22"/>
        </w:rPr>
        <w:t>has been prepared, which seeks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="00353B9A">
        <w:rPr>
          <w:rFonts w:ascii="Arial" w:eastAsia="Calibri" w:hAnsi="Arial" w:cs="Arial"/>
          <w:color w:val="auto"/>
          <w:spacing w:val="-4"/>
          <w:sz w:val="22"/>
          <w:szCs w:val="22"/>
        </w:rPr>
        <w:t>to implement the</w:t>
      </w:r>
      <w:r>
        <w:rPr>
          <w:rFonts w:ascii="Arial" w:eastAsia="Calibri" w:hAnsi="Arial" w:cs="Arial"/>
          <w:color w:val="auto"/>
          <w:spacing w:val="-4"/>
          <w:sz w:val="22"/>
          <w:szCs w:val="22"/>
        </w:rPr>
        <w:t>se</w:t>
      </w:r>
      <w:r w:rsidR="00353B9A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legislative elements of the Plan.</w:t>
      </w:r>
      <w:r w:rsidR="002E7CBD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</w:p>
    <w:p w14:paraId="5545164F" w14:textId="77777777" w:rsidR="002E7CBD" w:rsidRDefault="002E7CBD" w:rsidP="008B507A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5" w:right="-1" w:hanging="425"/>
        <w:jc w:val="both"/>
        <w:rPr>
          <w:rFonts w:ascii="Arial" w:eastAsia="Calibri" w:hAnsi="Arial" w:cs="Arial"/>
          <w:color w:val="auto"/>
          <w:sz w:val="20"/>
        </w:rPr>
      </w:pPr>
      <w:r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An exposure draft of the Bill </w:t>
      </w:r>
      <w:r w:rsidR="00353B9A">
        <w:rPr>
          <w:rFonts w:ascii="Arial" w:eastAsia="Calibri" w:hAnsi="Arial" w:cs="Arial"/>
          <w:color w:val="auto"/>
          <w:spacing w:val="-4"/>
          <w:sz w:val="22"/>
          <w:szCs w:val="22"/>
        </w:rPr>
        <w:t>has been prepared for public consultation.</w:t>
      </w:r>
    </w:p>
    <w:p w14:paraId="5675C085" w14:textId="56948ED0" w:rsidR="002E7CBD" w:rsidRPr="002E7CBD" w:rsidRDefault="00CA2FD1" w:rsidP="008B507A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/>
        <w:ind w:left="425" w:right="-1" w:hanging="425"/>
        <w:jc w:val="both"/>
        <w:rPr>
          <w:rFonts w:ascii="Arial" w:eastAsia="Calibri" w:hAnsi="Arial" w:cs="Arial"/>
          <w:color w:val="auto"/>
          <w:sz w:val="20"/>
        </w:rPr>
      </w:pPr>
      <w:r w:rsidRPr="002E7CBD">
        <w:rPr>
          <w:rFonts w:ascii="Arial" w:eastAsia="Calibri" w:hAnsi="Arial" w:cs="Arial"/>
          <w:color w:val="auto"/>
          <w:spacing w:val="-4"/>
          <w:sz w:val="22"/>
          <w:szCs w:val="22"/>
          <w:u w:val="single"/>
        </w:rPr>
        <w:t xml:space="preserve">Cabinet </w:t>
      </w:r>
      <w:r w:rsidR="002E7CBD" w:rsidRPr="002E7CBD">
        <w:rPr>
          <w:rFonts w:ascii="Arial" w:eastAsia="Calibri" w:hAnsi="Arial" w:cs="Arial"/>
          <w:color w:val="auto"/>
          <w:spacing w:val="-4"/>
          <w:sz w:val="22"/>
          <w:szCs w:val="22"/>
          <w:u w:val="single"/>
        </w:rPr>
        <w:t>n</w:t>
      </w:r>
      <w:r w:rsidR="008951F7" w:rsidRPr="002E7CBD">
        <w:rPr>
          <w:rFonts w:ascii="Arial" w:eastAsia="Calibri" w:hAnsi="Arial" w:cs="Arial"/>
          <w:color w:val="auto"/>
          <w:spacing w:val="-4"/>
          <w:sz w:val="22"/>
          <w:szCs w:val="22"/>
          <w:u w:val="single"/>
        </w:rPr>
        <w:t>oted</w:t>
      </w:r>
      <w:r w:rsidR="008951F7" w:rsidRPr="002E7CBD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</w:t>
      </w:r>
      <w:r w:rsidR="002E7CBD" w:rsidRPr="002E7CBD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that the exposure draft of the Energy (Renewable Transformation and Jobs) Bill, </w:t>
      </w:r>
      <w:r w:rsidR="002E7CBD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a </w:t>
      </w:r>
      <w:r w:rsidR="002E7CBD" w:rsidRPr="002E7CBD">
        <w:rPr>
          <w:rFonts w:ascii="Arial" w:eastAsia="Calibri" w:hAnsi="Arial" w:cs="Arial"/>
          <w:color w:val="auto"/>
          <w:spacing w:val="-4"/>
          <w:sz w:val="22"/>
          <w:szCs w:val="22"/>
        </w:rPr>
        <w:t>Regulation extract</w:t>
      </w:r>
      <w:r w:rsidR="002E7CBD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to support the Priority Transmission Investments element of the Bill</w:t>
      </w:r>
      <w:r w:rsidR="002E7CBD" w:rsidRPr="002E7CBD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and supporting consultation document, </w:t>
      </w:r>
      <w:r w:rsidR="0091031F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will </w:t>
      </w:r>
      <w:r w:rsidR="002E7CBD" w:rsidRPr="002E7CBD">
        <w:rPr>
          <w:rFonts w:ascii="Arial" w:eastAsia="Calibri" w:hAnsi="Arial" w:cs="Arial"/>
          <w:color w:val="auto"/>
          <w:spacing w:val="-4"/>
          <w:sz w:val="22"/>
          <w:szCs w:val="22"/>
        </w:rPr>
        <w:t>be released for four weeks</w:t>
      </w:r>
      <w:r w:rsidR="002E7CBD">
        <w:rPr>
          <w:rFonts w:ascii="Arial" w:eastAsia="Calibri" w:hAnsi="Arial" w:cs="Arial"/>
          <w:color w:val="auto"/>
          <w:spacing w:val="-4"/>
          <w:sz w:val="22"/>
          <w:szCs w:val="22"/>
        </w:rPr>
        <w:t>’</w:t>
      </w:r>
      <w:r w:rsidR="008C61ED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public</w:t>
      </w:r>
      <w:r w:rsidR="002E7CBD" w:rsidRPr="002E7CBD">
        <w:rPr>
          <w:rFonts w:ascii="Arial" w:eastAsia="Calibri" w:hAnsi="Arial" w:cs="Arial"/>
          <w:color w:val="auto"/>
          <w:spacing w:val="-4"/>
          <w:sz w:val="22"/>
          <w:szCs w:val="22"/>
        </w:rPr>
        <w:t xml:space="preserve"> consultation.</w:t>
      </w:r>
    </w:p>
    <w:p w14:paraId="7E6796C3" w14:textId="42259CF2" w:rsidR="00CA2FD1" w:rsidRPr="00CA2FD1" w:rsidRDefault="00CA2FD1" w:rsidP="008B507A">
      <w:pPr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60"/>
        <w:ind w:left="425" w:hanging="425"/>
        <w:jc w:val="both"/>
        <w:rPr>
          <w:rFonts w:ascii="Arial" w:eastAsia="Calibri" w:hAnsi="Arial" w:cs="Arial"/>
          <w:i/>
          <w:iCs/>
          <w:color w:val="auto"/>
          <w:sz w:val="22"/>
          <w:szCs w:val="22"/>
        </w:rPr>
      </w:pPr>
      <w:r w:rsidRPr="00CA2FD1">
        <w:rPr>
          <w:rFonts w:ascii="Arial" w:eastAsia="Calibri" w:hAnsi="Arial" w:cs="Arial"/>
          <w:i/>
          <w:iCs/>
          <w:color w:val="auto"/>
          <w:sz w:val="22"/>
          <w:szCs w:val="22"/>
          <w:u w:val="single"/>
        </w:rPr>
        <w:t>Attachments</w:t>
      </w:r>
      <w:r w:rsidR="00E77A68">
        <w:rPr>
          <w:rFonts w:ascii="Arial" w:eastAsia="Calibri" w:hAnsi="Arial" w:cs="Arial"/>
          <w:color w:val="auto"/>
          <w:sz w:val="22"/>
          <w:szCs w:val="22"/>
        </w:rPr>
        <w:t>:</w:t>
      </w:r>
    </w:p>
    <w:p w14:paraId="670FBEFC" w14:textId="27ECDD5A" w:rsidR="002E7CBD" w:rsidRPr="002E7CBD" w:rsidRDefault="008A5479" w:rsidP="008B507A">
      <w:pPr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2E7CBD" w:rsidRPr="00477D7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Exposure draft of Energy (Renewable Transformation and Jobs) Bill 2023</w:t>
        </w:r>
      </w:hyperlink>
    </w:p>
    <w:p w14:paraId="621EA508" w14:textId="42B6743C" w:rsidR="002E7CBD" w:rsidRPr="002E7CBD" w:rsidRDefault="008A5479" w:rsidP="008B507A">
      <w:pPr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2E7CBD" w:rsidRPr="00477D7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Exposure draft extract of Regulation to support Priority Transmission Investments element of the Bill</w:t>
        </w:r>
      </w:hyperlink>
    </w:p>
    <w:p w14:paraId="77813637" w14:textId="4ECA91BE" w:rsidR="00FF1C62" w:rsidRPr="00E77A68" w:rsidRDefault="008A5479" w:rsidP="008B507A">
      <w:pPr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3" w:history="1">
        <w:r w:rsidR="002E7CBD" w:rsidRPr="00477D7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Consultation document</w:t>
        </w:r>
      </w:hyperlink>
    </w:p>
    <w:sectPr w:rsidR="00FF1C62" w:rsidRPr="00E77A68" w:rsidSect="00C1407C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087B" w14:textId="77777777" w:rsidR="000C37E7" w:rsidRDefault="000C37E7" w:rsidP="00D6589B">
      <w:r>
        <w:separator/>
      </w:r>
    </w:p>
  </w:endnote>
  <w:endnote w:type="continuationSeparator" w:id="0">
    <w:p w14:paraId="01893341" w14:textId="77777777" w:rsidR="000C37E7" w:rsidRDefault="000C37E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49EF" w14:textId="77777777" w:rsidR="000C37E7" w:rsidRDefault="000C37E7" w:rsidP="00D6589B">
      <w:r>
        <w:separator/>
      </w:r>
    </w:p>
  </w:footnote>
  <w:footnote w:type="continuationSeparator" w:id="0">
    <w:p w14:paraId="33B3298E" w14:textId="77777777" w:rsidR="000C37E7" w:rsidRDefault="000C37E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B33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EA48B6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9845492" w14:textId="63292DFC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0312C">
      <w:rPr>
        <w:rFonts w:ascii="Arial" w:hAnsi="Arial" w:cs="Arial"/>
        <w:b/>
        <w:color w:val="auto"/>
        <w:sz w:val="22"/>
        <w:szCs w:val="22"/>
        <w:lang w:eastAsia="en-US"/>
      </w:rPr>
      <w:t xml:space="preserve">May </w:t>
    </w:r>
    <w:r w:rsidR="00946B0A">
      <w:rPr>
        <w:rFonts w:ascii="Arial" w:hAnsi="Arial" w:cs="Arial"/>
        <w:b/>
        <w:color w:val="auto"/>
        <w:sz w:val="22"/>
        <w:szCs w:val="22"/>
        <w:lang w:eastAsia="en-US"/>
      </w:rPr>
      <w:t>2023</w:t>
    </w:r>
  </w:p>
  <w:p w14:paraId="04AD2555" w14:textId="40EAD43F" w:rsidR="003865CD" w:rsidRPr="003865CD" w:rsidRDefault="00E77A68" w:rsidP="00E77A68">
    <w:pPr>
      <w:pStyle w:val="Header"/>
      <w:spacing w:before="240"/>
      <w:rPr>
        <w:rFonts w:ascii="Arial" w:hAnsi="Arial" w:cs="Arial"/>
        <w:b/>
        <w:bCs/>
        <w:sz w:val="22"/>
        <w:szCs w:val="22"/>
        <w:u w:val="single"/>
      </w:rPr>
    </w:pPr>
    <w:r w:rsidRPr="00E77A68">
      <w:rPr>
        <w:rFonts w:ascii="Arial" w:hAnsi="Arial" w:cs="Arial"/>
        <w:b/>
        <w:bCs/>
        <w:sz w:val="22"/>
        <w:szCs w:val="22"/>
        <w:u w:val="single"/>
      </w:rPr>
      <w:t>Energy (Renewable Transformation and Jobs) Bill 2023 exposure draft public consultation</w:t>
    </w:r>
  </w:p>
  <w:p w14:paraId="017DDB84" w14:textId="445D5FA8" w:rsidR="00CB1501" w:rsidRDefault="00CB1501" w:rsidP="00D4187C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A4778">
      <w:rPr>
        <w:rFonts w:ascii="Arial" w:hAnsi="Arial" w:cs="Arial"/>
        <w:b/>
        <w:sz w:val="22"/>
        <w:szCs w:val="22"/>
        <w:u w:val="single"/>
      </w:rPr>
      <w:t xml:space="preserve"> for </w:t>
    </w:r>
    <w:r w:rsidR="00520C7E">
      <w:rPr>
        <w:rFonts w:ascii="Arial" w:hAnsi="Arial" w:cs="Arial"/>
        <w:b/>
        <w:sz w:val="22"/>
        <w:szCs w:val="22"/>
        <w:u w:val="single"/>
      </w:rPr>
      <w:t xml:space="preserve">Energy, Renewables and Hydrogen and </w:t>
    </w:r>
    <w:r w:rsidR="00FF1C62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520C7E">
      <w:rPr>
        <w:rFonts w:ascii="Arial" w:hAnsi="Arial" w:cs="Arial"/>
        <w:b/>
        <w:sz w:val="22"/>
        <w:szCs w:val="22"/>
        <w:u w:val="single"/>
      </w:rPr>
      <w:t>Public Works and Procurement</w:t>
    </w:r>
  </w:p>
  <w:p w14:paraId="417B68DA" w14:textId="77777777" w:rsidR="00C0312C" w:rsidRPr="00C0312C" w:rsidRDefault="00C0312C" w:rsidP="00D6589B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A1ACCBC4"/>
    <w:lvl w:ilvl="0">
      <w:start w:val="1"/>
      <w:numFmt w:val="decimal"/>
      <w:lvlText w:val="%1."/>
      <w:lvlJc w:val="left"/>
      <w:pPr>
        <w:ind w:left="664" w:hanging="360"/>
      </w:pPr>
      <w:rPr>
        <w:rFonts w:ascii="Arial" w:hAnsi="Arial" w:cs="Arial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1" w15:restartNumberingAfterBreak="0">
    <w:nsid w:val="00A315C1"/>
    <w:multiLevelType w:val="hybridMultilevel"/>
    <w:tmpl w:val="69208BD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D38F5"/>
    <w:multiLevelType w:val="hybridMultilevel"/>
    <w:tmpl w:val="B128D9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6338A"/>
    <w:multiLevelType w:val="multilevel"/>
    <w:tmpl w:val="00000885"/>
    <w:lvl w:ilvl="0">
      <w:start w:val="1"/>
      <w:numFmt w:val="decimal"/>
      <w:lvlText w:val="%1."/>
      <w:lvlJc w:val="left"/>
      <w:pPr>
        <w:ind w:left="664" w:hanging="360"/>
      </w:pPr>
      <w:rPr>
        <w:rFonts w:ascii="Arial" w:hAnsi="Arial" w:cs="Arial"/>
        <w:b w:val="0"/>
        <w:bCs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4" w15:restartNumberingAfterBreak="0">
    <w:nsid w:val="1430296E"/>
    <w:multiLevelType w:val="multilevel"/>
    <w:tmpl w:val="1D54927E"/>
    <w:lvl w:ilvl="0">
      <w:numFmt w:val="bullet"/>
      <w:lvlText w:val="-"/>
      <w:lvlJc w:val="left"/>
      <w:pPr>
        <w:ind w:left="664" w:hanging="360"/>
      </w:pPr>
      <w:rPr>
        <w:rFonts w:ascii="Arial" w:eastAsia="Calibri" w:hAnsi="Arial" w:cs="Arial" w:hint="default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721" w:hanging="360"/>
      </w:pPr>
    </w:lvl>
  </w:abstractNum>
  <w:abstractNum w:abstractNumId="5" w15:restartNumberingAfterBreak="0">
    <w:nsid w:val="1A902DC8"/>
    <w:multiLevelType w:val="hybridMultilevel"/>
    <w:tmpl w:val="089ED666"/>
    <w:lvl w:ilvl="0" w:tplc="03F400B6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1" w:tplc="15E693F2">
      <w:start w:val="1"/>
      <w:numFmt w:val="lowerRoman"/>
      <w:lvlText w:val="%2."/>
      <w:lvlJc w:val="left"/>
      <w:pPr>
        <w:tabs>
          <w:tab w:val="num" w:pos="1565"/>
        </w:tabs>
        <w:ind w:left="1565" w:hanging="357"/>
      </w:pPr>
      <w:rPr>
        <w:rFonts w:hint="default"/>
        <w:b w:val="0"/>
        <w:i w:val="0"/>
        <w:sz w:val="24"/>
      </w:rPr>
    </w:lvl>
    <w:lvl w:ilvl="2" w:tplc="077A29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851AD490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05BCB"/>
    <w:multiLevelType w:val="hybridMultilevel"/>
    <w:tmpl w:val="3D9029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8E72A5"/>
    <w:multiLevelType w:val="hybridMultilevel"/>
    <w:tmpl w:val="F020A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47BC8"/>
    <w:multiLevelType w:val="hybridMultilevel"/>
    <w:tmpl w:val="D8584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4EC4"/>
    <w:multiLevelType w:val="hybridMultilevel"/>
    <w:tmpl w:val="09AE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C7B04"/>
    <w:multiLevelType w:val="hybridMultilevel"/>
    <w:tmpl w:val="5E0EBD2E"/>
    <w:lvl w:ilvl="0" w:tplc="48EC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55424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1B086C58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E93F24"/>
    <w:multiLevelType w:val="hybridMultilevel"/>
    <w:tmpl w:val="0DCEDDB4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2966B31"/>
    <w:multiLevelType w:val="hybridMultilevel"/>
    <w:tmpl w:val="02F4C6F0"/>
    <w:lvl w:ilvl="0" w:tplc="F660661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7114EA4"/>
    <w:multiLevelType w:val="hybridMultilevel"/>
    <w:tmpl w:val="1C2AB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21D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color w:val="auto"/>
        <w:sz w:val="24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B7546"/>
    <w:multiLevelType w:val="hybridMultilevel"/>
    <w:tmpl w:val="AEF20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37799D"/>
    <w:multiLevelType w:val="hybridMultilevel"/>
    <w:tmpl w:val="4C7C8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76F87"/>
    <w:multiLevelType w:val="hybridMultilevel"/>
    <w:tmpl w:val="D3BC88A8"/>
    <w:lvl w:ilvl="0" w:tplc="FE00E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944815">
    <w:abstractNumId w:val="17"/>
  </w:num>
  <w:num w:numId="2" w16cid:durableId="882521885">
    <w:abstractNumId w:val="15"/>
  </w:num>
  <w:num w:numId="3" w16cid:durableId="382212957">
    <w:abstractNumId w:val="10"/>
  </w:num>
  <w:num w:numId="4" w16cid:durableId="1707677631">
    <w:abstractNumId w:val="13"/>
  </w:num>
  <w:num w:numId="5" w16cid:durableId="1104958135">
    <w:abstractNumId w:val="9"/>
  </w:num>
  <w:num w:numId="6" w16cid:durableId="2111705156">
    <w:abstractNumId w:val="14"/>
  </w:num>
  <w:num w:numId="7" w16cid:durableId="607935901">
    <w:abstractNumId w:val="5"/>
  </w:num>
  <w:num w:numId="8" w16cid:durableId="152962983">
    <w:abstractNumId w:val="16"/>
  </w:num>
  <w:num w:numId="9" w16cid:durableId="1123227385">
    <w:abstractNumId w:val="8"/>
  </w:num>
  <w:num w:numId="10" w16cid:durableId="208105174">
    <w:abstractNumId w:val="11"/>
  </w:num>
  <w:num w:numId="11" w16cid:durableId="1658531295">
    <w:abstractNumId w:val="0"/>
  </w:num>
  <w:num w:numId="12" w16cid:durableId="106050591">
    <w:abstractNumId w:val="3"/>
  </w:num>
  <w:num w:numId="13" w16cid:durableId="922956054">
    <w:abstractNumId w:val="12"/>
  </w:num>
  <w:num w:numId="14" w16cid:durableId="1420760734">
    <w:abstractNumId w:val="2"/>
  </w:num>
  <w:num w:numId="15" w16cid:durableId="1524172687">
    <w:abstractNumId w:val="4"/>
  </w:num>
  <w:num w:numId="16" w16cid:durableId="931013265">
    <w:abstractNumId w:val="1"/>
  </w:num>
  <w:num w:numId="17" w16cid:durableId="1393652218">
    <w:abstractNumId w:val="6"/>
  </w:num>
  <w:num w:numId="18" w16cid:durableId="1354309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12500"/>
    <w:rsid w:val="00020047"/>
    <w:rsid w:val="000425B4"/>
    <w:rsid w:val="00047C8E"/>
    <w:rsid w:val="00063477"/>
    <w:rsid w:val="00072A8E"/>
    <w:rsid w:val="00080F8F"/>
    <w:rsid w:val="00087F37"/>
    <w:rsid w:val="000C37E7"/>
    <w:rsid w:val="000E08B9"/>
    <w:rsid w:val="0010384C"/>
    <w:rsid w:val="0015430B"/>
    <w:rsid w:val="00156CFA"/>
    <w:rsid w:val="00174117"/>
    <w:rsid w:val="001D4D57"/>
    <w:rsid w:val="001E7247"/>
    <w:rsid w:val="001F305E"/>
    <w:rsid w:val="00227705"/>
    <w:rsid w:val="002508B7"/>
    <w:rsid w:val="002B500B"/>
    <w:rsid w:val="002D2EB5"/>
    <w:rsid w:val="002E08BD"/>
    <w:rsid w:val="002E7CBD"/>
    <w:rsid w:val="00353B9A"/>
    <w:rsid w:val="003865CD"/>
    <w:rsid w:val="003A3BDD"/>
    <w:rsid w:val="00461E20"/>
    <w:rsid w:val="00477D79"/>
    <w:rsid w:val="00484002"/>
    <w:rsid w:val="004A4778"/>
    <w:rsid w:val="004C2297"/>
    <w:rsid w:val="004D31AF"/>
    <w:rsid w:val="00501C66"/>
    <w:rsid w:val="005045CE"/>
    <w:rsid w:val="00520C7E"/>
    <w:rsid w:val="00545872"/>
    <w:rsid w:val="00550873"/>
    <w:rsid w:val="005953CB"/>
    <w:rsid w:val="005A0E22"/>
    <w:rsid w:val="005B2C7D"/>
    <w:rsid w:val="005E1C11"/>
    <w:rsid w:val="00631011"/>
    <w:rsid w:val="00682E44"/>
    <w:rsid w:val="00684617"/>
    <w:rsid w:val="007265D0"/>
    <w:rsid w:val="00732E22"/>
    <w:rsid w:val="00741C20"/>
    <w:rsid w:val="007C44EF"/>
    <w:rsid w:val="007F44F4"/>
    <w:rsid w:val="00811365"/>
    <w:rsid w:val="00857BD4"/>
    <w:rsid w:val="008951F7"/>
    <w:rsid w:val="008A229D"/>
    <w:rsid w:val="008A5479"/>
    <w:rsid w:val="008B1695"/>
    <w:rsid w:val="008B507A"/>
    <w:rsid w:val="008C61ED"/>
    <w:rsid w:val="008D0ADD"/>
    <w:rsid w:val="00904077"/>
    <w:rsid w:val="0091031F"/>
    <w:rsid w:val="00937A4A"/>
    <w:rsid w:val="00946B0A"/>
    <w:rsid w:val="009543C2"/>
    <w:rsid w:val="009605CF"/>
    <w:rsid w:val="00A00201"/>
    <w:rsid w:val="00A75787"/>
    <w:rsid w:val="00AA4DE7"/>
    <w:rsid w:val="00B02FC2"/>
    <w:rsid w:val="00B03890"/>
    <w:rsid w:val="00B36512"/>
    <w:rsid w:val="00BC0264"/>
    <w:rsid w:val="00BC480F"/>
    <w:rsid w:val="00BE6C64"/>
    <w:rsid w:val="00C0312C"/>
    <w:rsid w:val="00C1407C"/>
    <w:rsid w:val="00C17FCB"/>
    <w:rsid w:val="00C22388"/>
    <w:rsid w:val="00C35FB6"/>
    <w:rsid w:val="00C37857"/>
    <w:rsid w:val="00C51D88"/>
    <w:rsid w:val="00C56791"/>
    <w:rsid w:val="00C75E67"/>
    <w:rsid w:val="00CA2FD1"/>
    <w:rsid w:val="00CB1501"/>
    <w:rsid w:val="00CD7A50"/>
    <w:rsid w:val="00CF0D8A"/>
    <w:rsid w:val="00D4187C"/>
    <w:rsid w:val="00D6589B"/>
    <w:rsid w:val="00DF46AC"/>
    <w:rsid w:val="00E77A68"/>
    <w:rsid w:val="00EA55EB"/>
    <w:rsid w:val="00EB6C5F"/>
    <w:rsid w:val="00F1729E"/>
    <w:rsid w:val="00F27753"/>
    <w:rsid w:val="00F2786E"/>
    <w:rsid w:val="00F45B99"/>
    <w:rsid w:val="00F77CE0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85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50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2FD1"/>
    <w:pPr>
      <w:autoSpaceDE w:val="0"/>
      <w:autoSpaceDN w:val="0"/>
      <w:adjustRightInd w:val="0"/>
      <w:ind w:hanging="360"/>
    </w:pPr>
    <w:rPr>
      <w:rFonts w:ascii="Arial" w:eastAsia="Calibri" w:hAnsi="Arial" w:cs="Arial"/>
      <w:color w:val="auto"/>
      <w:sz w:val="22"/>
      <w:szCs w:val="22"/>
    </w:rPr>
  </w:style>
  <w:style w:type="character" w:customStyle="1" w:styleId="BodyTextChar">
    <w:name w:val="Body Text Char"/>
    <w:link w:val="BodyText"/>
    <w:uiPriority w:val="1"/>
    <w:rsid w:val="00CA2FD1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C51D88"/>
    <w:rPr>
      <w:rFonts w:ascii="Times New Roman" w:eastAsia="Times New Roman" w:hAnsi="Times New Roman"/>
      <w:color w:val="000000"/>
      <w:sz w:val="24"/>
      <w:lang w:val="en-AU" w:eastAsia="en-AU"/>
    </w:rPr>
  </w:style>
  <w:style w:type="character" w:styleId="CommentReference">
    <w:name w:val="annotation reference"/>
    <w:uiPriority w:val="99"/>
    <w:semiHidden/>
    <w:unhideWhenUsed/>
    <w:rsid w:val="00C51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D8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51D88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D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1D88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A00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pcqld.sharepoint.com/sites/DPC-CABINETSERVICES/Shared%20Documents/General/Proactive%20Release/ToBeProcessed/2023/May/EnergyRTJBill/Attachments/Pape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3/May/EnergyRTJBill/Attachments/Regulatio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May/EnergyRTJBill/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  <SharedWithUsers xmlns="63e311de-a790-43ff-be63-577c26c7507c">
      <UserInfo>
        <DisplayName>Heather Stewart</DisplayName>
        <AccountId>12</AccountId>
        <AccountType/>
      </UserInfo>
      <UserInfo>
        <DisplayName>Jane Stephenson</DisplayName>
        <AccountId>137</AccountId>
        <AccountType/>
      </UserInfo>
      <UserInfo>
        <DisplayName>Kaitlyn Stutz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ADC2F4-3D16-4070-AB3B-B13CCE993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F0A59-7002-4396-B0FC-049D82BBC15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AC8DCC-DA0E-4D85-B554-B250BA2AD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2F753-626C-4FB6-B14F-75514BFAEFA2}">
  <ds:schemaRefs>
    <ds:schemaRef ds:uri="http://purl.org/dc/terms/"/>
    <ds:schemaRef ds:uri="http://schemas.microsoft.com/office/2006/documentManagement/types"/>
    <ds:schemaRef ds:uri="b8ed82f2-f7bd-423c-8698-5e132afe9245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43</TotalTime>
  <Pages>1</Pages>
  <Words>140</Words>
  <Characters>822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Base>https://www.cabinet.qld.gov.au/documents/2023/May/EnergyRTJBill/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2023-08-10T00:28:00Z</cp:lastPrinted>
  <dcterms:created xsi:type="dcterms:W3CDTF">2023-09-13T07:03:00Z</dcterms:created>
  <dcterms:modified xsi:type="dcterms:W3CDTF">2024-09-17T01:19:00Z</dcterms:modified>
  <cp:category>Energy,Legislation,Regulation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DirectorInput">
    <vt:lpwstr/>
  </property>
  <property fmtid="{D5CDD505-2E9C-101B-9397-08002B2CF9AE}" pid="4" name="DuetoODDG">
    <vt:lpwstr/>
  </property>
  <property fmtid="{D5CDD505-2E9C-101B-9397-08002B2CF9AE}" pid="5" name="DuetoRequestor">
    <vt:lpwstr/>
  </property>
  <property fmtid="{D5CDD505-2E9C-101B-9397-08002B2CF9AE}" pid="6" name="Details">
    <vt:lpwstr/>
  </property>
  <property fmtid="{D5CDD505-2E9C-101B-9397-08002B2CF9AE}" pid="7" name="display_urn:schemas-microsoft-com:office:office#SharedWithUsers">
    <vt:lpwstr>Heather Stewart;Jane Stephenson;Kaitlyn Stutz</vt:lpwstr>
  </property>
  <property fmtid="{D5CDD505-2E9C-101B-9397-08002B2CF9AE}" pid="8" name="SharedWithUsers">
    <vt:lpwstr>12;#Heather Stewart;#137;#Jane Stephenson;#16;#Kaitlyn Stutz</vt:lpwstr>
  </property>
  <property fmtid="{D5CDD505-2E9C-101B-9397-08002B2CF9AE}" pid="9" name="MediaServiceImageTags">
    <vt:lpwstr/>
  </property>
  <property fmtid="{D5CDD505-2E9C-101B-9397-08002B2CF9AE}" pid="10" name="ContentTypeId">
    <vt:lpwstr>0x010100DDE14CFDD070B24F85F5DE43654FF01E</vt:lpwstr>
  </property>
</Properties>
</file>